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9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9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93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9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93"/>
        <w:ind w:right="-57"/>
        <w:jc w:val="center"/>
        <w:spacing w:before="0" w:beforeAutospacing="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93"/>
        <w:ind w:right="-55"/>
        <w:jc w:val="center"/>
        <w:spacing w:before="0" w:beforeAutospacing="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93"/>
        <w:ind w:right="-55"/>
        <w:jc w:val="center"/>
        <w:spacing w:before="0" w:beforeAutospacing="0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93"/>
        <w:jc w:val="center"/>
        <w:spacing w:before="0" w:before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93"/>
        <w:jc w:val="center"/>
        <w:spacing w:before="0" w:before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44"/>
        <w:jc w:val="center"/>
        <w:spacing w:before="0" w:beforeAutospacing="0" w:after="0" w:afterAutospacing="0"/>
        <w:shd w:val="clear" w:color="auto" w:fill="ffffff"/>
        <w:rPr>
          <w:rStyle w:val="1145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 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4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4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4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44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93"/>
        <w:ind w:firstLine="709"/>
        <w:jc w:val="both"/>
        <w:spacing w:before="0" w:beforeAutospacing="0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93"/>
        <w:ind w:firstLine="709"/>
        <w:jc w:val="both"/>
        <w:spacing w:before="0" w:before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1, 434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трлн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прошлому году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106,6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107,7 %, что на 6,4 п.п.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выше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101,3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ПФО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93"/>
        <w:ind w:firstLine="709"/>
        <w:jc w:val="both"/>
        <w:spacing w:before="0" w:before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1,022 тлрн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прошлому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121,5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115,4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общероссийского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11,8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103,6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71,3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93"/>
        <w:ind w:firstLine="709"/>
        <w:jc w:val="both"/>
        <w:spacing w:before="0" w:beforeAutospacing="0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готовых металлических изделий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111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компьютеров, электронных и оптических изделий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178,4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прочих транспортных средств и оборудования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121,6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производство резиновых и пластмассовых изделий –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119,3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роизводство лекарственных средств и материалов, применяемых в медицинских целях –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103,5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%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производство металлургическое –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109,7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%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36"/>
        <w:numPr>
          <w:ilvl w:val="0"/>
          <w:numId w:val="94"/>
        </w:numPr>
        <w:jc w:val="both"/>
        <w:spacing w:before="0" w:beforeAutospacing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емонт и монтаж машин и оборудования – 102,6 %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before="0" w:beforeAutospacing="0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23,6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338,2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млрд рублей, темп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76,7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%.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96,1 %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spacing w:before="0" w:beforeAutospacing="0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spacing w:before="0" w:beforeAutospacing="0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Федеральный проект «Производительность труда» подтвердил свою значимость в Удмуртии, продемонстрировав экономический эффект более 102,8 млн рублей на 8 предприятиях – участниках по итогам 2025 года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before="0" w:beforeAutospacing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Среди главных успехов участников проекта: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pStyle w:val="936"/>
        <w:numPr>
          <w:ilvl w:val="0"/>
          <w:numId w:val="108"/>
        </w:numPr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Социальная сфера: санаторий «Варзи-Ятчи» улучшил обслуживание отдыхающих, сократив время уборки на 10%.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936"/>
        <w:numPr>
          <w:ilvl w:val="0"/>
          <w:numId w:val="108"/>
        </w:numPr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Компания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Удмуртавтодорстрой на участке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восстановления изношенных слоев асфальтобетонного покрытия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увеличили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выработку в 2,5 раза.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Если эта практика по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лучит дальнейшее распространение и соблюдение установленных процедур станет нормой, это значительно улучшит качество ремонтно-восстановительных мероприятий и снизит сроки устранения повреждений дорожного полотна и жители Удмуртии более качественные дороги.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36"/>
        <w:numPr>
          <w:ilvl w:val="0"/>
          <w:numId w:val="108"/>
        </w:numPr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Инфраструктура: упрощение процедуры подключения граждан к электроэнергии и газоснабжению благодаря оптимизированным проектам на Газпром газораспределение Ижевск и Электрических сетях Удмуртии.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36"/>
        <w:numPr>
          <w:ilvl w:val="0"/>
          <w:numId w:val="108"/>
        </w:numPr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Промпроизводство: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Реализация комплекса мероприятий на «Завод-Редуктор» позволила достичь ежегодного экономического эффекта свыше 12 млн рублей. Предприятие получило сертификат СТ-1, подтверждающий исключительно российскую принадлежность выпускаемой пр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одукции. Получение такого документа открывает дополнительные возможности для дальнейшего расширения рынка и содействует успешному осуществлению программы замещения импорта.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36"/>
        <w:numPr>
          <w:ilvl w:val="0"/>
          <w:numId w:val="108"/>
        </w:numPr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ООО СК «Континент»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улучшили процесс установки навес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ных фасадных систем. Организовали эффективные рабочие пространства в бытовом городке 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стандартизировали работы внутри монтажных бригад, что позволило исключить ожидание вспомогательных материалов.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В результате: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сокращение времени протекания процесса 54%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езавершенное производство снижено на 19%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увеличение выработки на 56%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Благодаря проекту компания сможет быстрее обеспечивать красивый внешний облик нашего города.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709" w:firstLine="0"/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 2026 году запланированы мероприятия на семи предприятиях, обучение 14 инструкторов и 98 работников методам улучшения производительности.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ind w:firstLine="720"/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Эксперты уже начали работу на предприятиях «ТРК Прогресс», «ИЗТТ-Сарапул» и «Ижнефтепласт» с 13 января 2026 года.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Осталось всего четыре свободных места для желающих присоединиться. Не упустите шанс – регистрация открыта на сайте </w:t>
      </w:r>
      <w:hyperlink r:id="rId12" w:tooltip="https://производительность.рф/" w:history="1">
        <w:r>
          <w:rPr>
            <w:rStyle w:val="111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  <w14:ligatures w14:val="none"/>
          </w:rPr>
          <w:t xml:space="preserve">https://производительность.рф/</w:t>
        </w:r>
      </w:hyperlink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Команды Удмуртии в 1/4 финала конкурса «Кибердром» – 2025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22 декабря 20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25 года состоялось соревнование этапа «Зарница» четвертьфинала основного трека «Кибердром.Профессионал» VIII всероссийского проекта «Кадры для цифровой промышленности. Создание законченных проектно-конструкторских решений в режиме соревнований «Кибердром».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«Зарница» посвящена применению комплексов беспилотных летательных аппаратов и робототехнических средств для решения транспортных задач в условиях активного киберфизического противодействия.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От Удмуртской Республики выступили сразу две команды. Команда ООО «Суперкам» «SUPERCAM.Юниоры» сражалась с командой «ГеосАэро» Пензенской области, а команда ГК «Беспилотные системы» «Кизили» противостояла команде «Импульс-Атом» той же Пензенской области.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По итогам состязаний обе команды Удмуртии продемонстрировали высокие результаты: «SUPERCAM.Юниоры» набрала 1310 баллов, а «Кизили» — 1240 баллов, уверенно пройдя этап «Зарница» и выйдя в полуфинал этапа «Авиационные работы», который пройдет в марте 2026 года.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По итогам «Кибердром.24/25»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команда ГК Беспилотные системы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«Тылобурдо»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заняла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почетное 4 место.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тоит отметить, что Удмуртия четвертый год подряд участвует в масштабном Всероссийском конкурсе «Кибердром», а в  Это мероприятие входит в большую программу подготовки высококлассных специалистов в сфере беспилотных авиационных систем и наземной робототехники, п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ривлекая молодежь к освоению инноваций для реализации стратегических задач промышленных предприятий и социального развития нашей страны.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Стартует 30-я юбилейная заявочная кампания премии Правительства РФ в области качества на 2026 год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Премии присуждаются ежегодно за результаты в области качества продукции и услуг, обеспечения их безопасности и высокоэффективный менеджмент качества.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Принять участие могут организации всех форм собственности, которые осуществляют деятельность на территории РФ более 3 лет.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Премия присуждается за достижения в нескольких направлениях: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10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внедрение современных методов управления качеством;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10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устойчивое развитие организации;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10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ориентация на потребности потребителей;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10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социальная ответственность бизнеса;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10"/>
        </w:numPr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повышение качества выпускаемой продукции или оказываемых услуг.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Подать заявку можно на официальной странице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hyperlink r:id="rId13" w:tooltip="https://roskachestvo.gov.ru/award/" w:history="1">
        <w:r>
          <w:rPr>
            <w:rStyle w:val="1112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  <w:t xml:space="preserve">https://roskachestvo.gov.ru/award/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премии до 1 марта 2026 года.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Важная новость для предприятий-производителей строительных материалов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️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2026 году поставщики и производители строительных ресурсов могут получать оплату не на казначейский, а на свой банковский счет, при условии осуществления сделки с использованием электронных торговых площадок в Федеральной государственной информационной си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стеме ценообразования в строительстве – ФГИС ЦС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hyperlink r:id="rId14" w:tooltip="https://fgiscs.minstroyrf.ru/RimDefinitionEstimatedCost/docExamples" w:history="1">
        <w:r>
          <w:rPr>
            <w:rStyle w:val="1112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  <w:t xml:space="preserve">https://fgiscs.minstroyrf.ru/RimDefinitionEstimatedCost/docExamples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Льгота действует для сделок по стройматериалам из специального перечня Минстроя России, включающего 57 позиций: песок, щебень, цемент, кирпич, битумы, асфальтобетонные смеси, металлопрокат и др.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 презентационными материалами Минстроя России и перечнем ресурсов можно ознакомиться на официальном сайте ФГИС ЦС по ссылке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hyperlink r:id="rId15" w:tooltip="https://fgiscs.minstroyrf.ru/monitoring" w:history="1">
        <w:r>
          <w:rPr>
            <w:rStyle w:val="1112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  <w:t xml:space="preserve">https://fgiscs.minstroyrf.ru/monitoring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Список организаторов торговли и операторов электронных площадок доступен с фильтром по соответствующим категориям.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Основные нарушения при проведении госзакупок по 44-ФЗ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Госзакупки по 44-ФЗ требуют строгого соблюдения законодательства, но даже опытные заказчики допускают ошибки. Это может привести к административной ответственности или снижению эффективности закупочной деятельности.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Топ-5 типичных нарушений: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1. Изменение существенных условий контракта. Например сроков, объёмов поставки или стоимости.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2. Заключение контракта с нарушением условий определения поставщика. Контракт должен быть заключён строго в соответствии с результатами процедуры определения поставщика.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3. Нарушение сроков направления информации в реестр контрактов - одно из наиболее частых нарушений, которое может повлечь за собой штрафы и другие санкции.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4. Нарушения сроков и порядка оплаты по контрактам создают риски для обеих сторон контракта и подрывают доверие к заказчику.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5. Неправомерный выбор способа определения поставщика - использование неподходящего способа закупки, например, проведение закупки у ед. поставщика без достаточных оснований.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Для повышения эффективности закупочной деятельности и снижения вероятности нарушений рекомендуется предпринять следующие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меры: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pStyle w:val="936"/>
        <w:numPr>
          <w:ilvl w:val="0"/>
          <w:numId w:val="107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усиление внутреннего контроля;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pStyle w:val="936"/>
        <w:numPr>
          <w:ilvl w:val="0"/>
          <w:numId w:val="107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обучение сотрудников контрактной службы;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07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автоматизация процессов закупок;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07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азработка чек-листов;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36"/>
        <w:numPr>
          <w:ilvl w:val="0"/>
          <w:numId w:val="107"/>
        </w:numPr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нализ типичных нарушений.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Более подробный обзор нарушений, выявленных за 2025 год, доступен на официальном сайте Минпромторга УР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hyperlink r:id="rId16" w:tooltip="http://minpromtorg.udmurt.ru/materials/18" w:history="1">
        <w:r>
          <w:rPr>
            <w:rStyle w:val="1112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  <w:t xml:space="preserve">http://minpromtorg.udmurt.ru/materials/18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С 1 января 2026 года вступили в силу важные изменения 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в сфере закупок (44-ФЗ)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Отменяется ограничение по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совокупному годовому объёму закупок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для запроса котировок. Теперь можно проводить неограниченное количество закупок этим способом, единственным ограничением остаётся н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ачальная максимальная цена контракта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в 10 млн рублей.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Закреплена ответственность участника закупки за недостоверную информацию и документы.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Скорректирован порядок заключения контракта с ед. поставщиком в случае несостоявшейся закупки (например, предусмотрено неограниченное количество протоколов разногласий).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Проведение нескольких однотипных  закупок малого объема не будет признаваться дроблением.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Контракты  на благоустройство можно изменять на 10% по правилам, аналогичным «строительным» контрактам в случае изменения видов и (или) объемов работ.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Финансовый контроль региона сможет проверить муниципальных заказчиков, если закупка осуществлялась за счет трансферта из регионального бюджета.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Допускается менять срок контракта на строительный контроль, если изменился срок выполнения работ по контракту на строительство.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Изменения направлены на обеспечение гибкости процедур и их упрощение.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Алкогольный рынок.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Новое в лицензировании алкогольной продукции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 1 сентября 2026 года  для получения лицензии на розничную продажу алкогольной продукции, в том числе при оказании услуг общественного питания, документы нужно будет подавать только в электронном виде. Исключение – когда торговый объект или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объект общественного питания находится в населенном пункте, где отсутствует интернет.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Заявление на получение лицензии можно подать через Единый портал государственных услуг или региональные порталы государственных и муниципальных услуг.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72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При этом изменятся некоторые сроки. К примеру, срок рассмотрения заявления на выдачу лицензий составит 15 рабочих дней, с возможностью продления не более чем на 25 рабочих дней, исключительно по ограниченному перечню оснований, предусмотренных законом.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spacing w:before="0" w:before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Новое в маркировке федеральными специальными марками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 1 марта 2026 года, в Российской Федерации меняется порядок маркировки импортной алкогольной продукции федеральными специальными марками на ввезенную в Российскую Федерацию алкогольную продукцию, произведенную в государствах, не являющихся г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осударствами - членами Евразийского экономического союза. Раньше марки наклеивались ещё до ввоза продукции в Российскую Федерацию, теперь только на складах внутри страны.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720"/>
        <w:jc w:val="both"/>
        <w:spacing w:before="0" w:before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За нарушение требований маркировки федеральными специальными марками предусмотрена административная ответственность.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ucida Sans Unicode">
    <w:panose1 w:val="020B0603030804020204"/>
  </w:font>
  <w:font w:name="Tahoma">
    <w:panose1 w:val="020B060603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rPr>
        <w:rStyle w:val="1138"/>
      </w:rPr>
      <w:framePr w:wrap="around" w:vAnchor="text" w:hAnchor="margin" w:xAlign="right" w:y="1"/>
    </w:pPr>
    <w:r>
      <w:rPr>
        <w:rStyle w:val="1138"/>
      </w:rPr>
      <w:fldChar w:fldCharType="begin"/>
    </w:r>
    <w:r>
      <w:rPr>
        <w:rStyle w:val="1138"/>
      </w:rPr>
      <w:instrText xml:space="preserve">PAGE  </w:instrText>
    </w:r>
    <w:r>
      <w:rPr>
        <w:rStyle w:val="1138"/>
      </w:rPr>
      <w:fldChar w:fldCharType="separate"/>
    </w:r>
    <w:r>
      <w:rPr>
        <w:rStyle w:val="1138"/>
      </w:rPr>
      <w:t xml:space="preserve">5</w:t>
    </w:r>
    <w:r>
      <w:rPr>
        <w:rStyle w:val="1138"/>
      </w:rPr>
      <w:fldChar w:fldCharType="end"/>
    </w:r>
    <w:r>
      <w:rPr>
        <w:rStyle w:val="1138"/>
      </w:rPr>
    </w:r>
    <w:r>
      <w:rPr>
        <w:rStyle w:val="1138"/>
      </w:rPr>
    </w:r>
  </w:p>
  <w:p>
    <w:pPr>
      <w:pStyle w:val="113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9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8">
    <w:name w:val="Heading 1"/>
    <w:basedOn w:val="1093"/>
    <w:next w:val="1093"/>
    <w:link w:val="9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9">
    <w:name w:val="Heading 1 Char"/>
    <w:link w:val="918"/>
    <w:uiPriority w:val="9"/>
    <w:rPr>
      <w:rFonts w:ascii="Arial" w:hAnsi="Arial" w:eastAsia="Arial" w:cs="Arial"/>
      <w:sz w:val="40"/>
      <w:szCs w:val="40"/>
    </w:rPr>
  </w:style>
  <w:style w:type="paragraph" w:styleId="920">
    <w:name w:val="Heading 2"/>
    <w:basedOn w:val="1093"/>
    <w:next w:val="1093"/>
    <w:link w:val="9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1">
    <w:name w:val="Heading 2 Char"/>
    <w:link w:val="920"/>
    <w:uiPriority w:val="9"/>
    <w:rPr>
      <w:rFonts w:ascii="Arial" w:hAnsi="Arial" w:eastAsia="Arial" w:cs="Arial"/>
      <w:sz w:val="34"/>
    </w:rPr>
  </w:style>
  <w:style w:type="paragraph" w:styleId="922">
    <w:name w:val="Heading 3"/>
    <w:basedOn w:val="1093"/>
    <w:next w:val="1093"/>
    <w:link w:val="9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3">
    <w:name w:val="Heading 3 Char"/>
    <w:link w:val="922"/>
    <w:uiPriority w:val="9"/>
    <w:rPr>
      <w:rFonts w:ascii="Arial" w:hAnsi="Arial" w:eastAsia="Arial" w:cs="Arial"/>
      <w:sz w:val="30"/>
      <w:szCs w:val="30"/>
    </w:rPr>
  </w:style>
  <w:style w:type="paragraph" w:styleId="924">
    <w:name w:val="Heading 4"/>
    <w:basedOn w:val="1093"/>
    <w:next w:val="1093"/>
    <w:link w:val="9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5">
    <w:name w:val="Heading 4 Char"/>
    <w:link w:val="924"/>
    <w:uiPriority w:val="9"/>
    <w:rPr>
      <w:rFonts w:ascii="Arial" w:hAnsi="Arial" w:eastAsia="Arial" w:cs="Arial"/>
      <w:b/>
      <w:bCs/>
      <w:sz w:val="26"/>
      <w:szCs w:val="26"/>
    </w:rPr>
  </w:style>
  <w:style w:type="paragraph" w:styleId="926">
    <w:name w:val="Heading 5"/>
    <w:basedOn w:val="1093"/>
    <w:next w:val="1093"/>
    <w:link w:val="9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7">
    <w:name w:val="Heading 5 Char"/>
    <w:link w:val="926"/>
    <w:uiPriority w:val="9"/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1093"/>
    <w:next w:val="1093"/>
    <w:link w:val="9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9">
    <w:name w:val="Heading 6 Char"/>
    <w:link w:val="928"/>
    <w:uiPriority w:val="9"/>
    <w:rPr>
      <w:rFonts w:ascii="Arial" w:hAnsi="Arial" w:eastAsia="Arial" w:cs="Arial"/>
      <w:b/>
      <w:bCs/>
      <w:sz w:val="22"/>
      <w:szCs w:val="22"/>
    </w:rPr>
  </w:style>
  <w:style w:type="paragraph" w:styleId="930">
    <w:name w:val="Heading 7"/>
    <w:basedOn w:val="1093"/>
    <w:next w:val="1093"/>
    <w:link w:val="9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1">
    <w:name w:val="Heading 7 Char"/>
    <w:link w:val="9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2">
    <w:name w:val="Heading 8"/>
    <w:basedOn w:val="1093"/>
    <w:next w:val="1093"/>
    <w:link w:val="9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3">
    <w:name w:val="Heading 8 Char"/>
    <w:link w:val="932"/>
    <w:uiPriority w:val="9"/>
    <w:rPr>
      <w:rFonts w:ascii="Arial" w:hAnsi="Arial" w:eastAsia="Arial" w:cs="Arial"/>
      <w:i/>
      <w:iCs/>
      <w:sz w:val="22"/>
      <w:szCs w:val="22"/>
    </w:rPr>
  </w:style>
  <w:style w:type="paragraph" w:styleId="934">
    <w:name w:val="Heading 9"/>
    <w:basedOn w:val="1093"/>
    <w:next w:val="1093"/>
    <w:link w:val="9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5">
    <w:name w:val="Heading 9 Char"/>
    <w:link w:val="934"/>
    <w:uiPriority w:val="9"/>
    <w:rPr>
      <w:rFonts w:ascii="Arial" w:hAnsi="Arial" w:eastAsia="Arial" w:cs="Arial"/>
      <w:i/>
      <w:iCs/>
      <w:sz w:val="21"/>
      <w:szCs w:val="21"/>
    </w:rPr>
  </w:style>
  <w:style w:type="paragraph" w:styleId="936">
    <w:name w:val="List Paragraph"/>
    <w:basedOn w:val="1093"/>
    <w:uiPriority w:val="34"/>
    <w:qFormat/>
    <w:pPr>
      <w:contextualSpacing/>
      <w:ind w:left="720"/>
    </w:pPr>
  </w:style>
  <w:style w:type="paragraph" w:styleId="937">
    <w:name w:val="No Spacing"/>
    <w:uiPriority w:val="1"/>
    <w:qFormat/>
    <w:pPr>
      <w:spacing w:before="0" w:after="0" w:line="240" w:lineRule="auto"/>
    </w:pPr>
  </w:style>
  <w:style w:type="character" w:styleId="938">
    <w:name w:val="Title Char"/>
    <w:link w:val="1167"/>
    <w:uiPriority w:val="10"/>
    <w:rPr>
      <w:sz w:val="48"/>
      <w:szCs w:val="48"/>
    </w:rPr>
  </w:style>
  <w:style w:type="paragraph" w:styleId="939">
    <w:name w:val="Subtitle"/>
    <w:basedOn w:val="1093"/>
    <w:next w:val="1093"/>
    <w:link w:val="940"/>
    <w:uiPriority w:val="11"/>
    <w:qFormat/>
    <w:pPr>
      <w:spacing w:before="200" w:after="200"/>
    </w:pPr>
    <w:rPr>
      <w:sz w:val="24"/>
      <w:szCs w:val="24"/>
    </w:rPr>
  </w:style>
  <w:style w:type="character" w:styleId="940">
    <w:name w:val="Subtitle Char"/>
    <w:link w:val="939"/>
    <w:uiPriority w:val="11"/>
    <w:rPr>
      <w:sz w:val="24"/>
      <w:szCs w:val="24"/>
    </w:rPr>
  </w:style>
  <w:style w:type="paragraph" w:styleId="941">
    <w:name w:val="Quote"/>
    <w:basedOn w:val="1093"/>
    <w:next w:val="1093"/>
    <w:link w:val="942"/>
    <w:uiPriority w:val="29"/>
    <w:qFormat/>
    <w:pPr>
      <w:ind w:left="720" w:right="720"/>
    </w:pPr>
    <w:rPr>
      <w:i/>
    </w:rPr>
  </w:style>
  <w:style w:type="character" w:styleId="942">
    <w:name w:val="Quote Char"/>
    <w:link w:val="941"/>
    <w:uiPriority w:val="29"/>
    <w:rPr>
      <w:i/>
    </w:rPr>
  </w:style>
  <w:style w:type="paragraph" w:styleId="943">
    <w:name w:val="Intense Quote"/>
    <w:basedOn w:val="1093"/>
    <w:next w:val="1093"/>
    <w:link w:val="9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4">
    <w:name w:val="Intense Quote Char"/>
    <w:link w:val="943"/>
    <w:uiPriority w:val="30"/>
    <w:rPr>
      <w:i/>
    </w:rPr>
  </w:style>
  <w:style w:type="character" w:styleId="945">
    <w:name w:val="Header Char"/>
    <w:link w:val="1166"/>
    <w:uiPriority w:val="99"/>
  </w:style>
  <w:style w:type="paragraph" w:styleId="946">
    <w:name w:val="Footer"/>
    <w:basedOn w:val="1093"/>
    <w:link w:val="9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7">
    <w:name w:val="Footer Char"/>
    <w:link w:val="946"/>
    <w:uiPriority w:val="99"/>
  </w:style>
  <w:style w:type="character" w:styleId="948">
    <w:name w:val="Caption Char"/>
    <w:basedOn w:val="1171"/>
    <w:link w:val="946"/>
    <w:uiPriority w:val="99"/>
  </w:style>
  <w:style w:type="table" w:styleId="94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5">
    <w:name w:val="Hyperlink"/>
    <w:uiPriority w:val="99"/>
    <w:unhideWhenUsed/>
    <w:rPr>
      <w:color w:val="0000ff" w:themeColor="hyperlink"/>
      <w:u w:val="single"/>
    </w:rPr>
  </w:style>
  <w:style w:type="paragraph" w:styleId="1076">
    <w:name w:val="footnote text"/>
    <w:basedOn w:val="1093"/>
    <w:link w:val="1077"/>
    <w:uiPriority w:val="99"/>
    <w:semiHidden/>
    <w:unhideWhenUsed/>
    <w:pPr>
      <w:spacing w:after="40" w:line="240" w:lineRule="auto"/>
    </w:pPr>
    <w:rPr>
      <w:sz w:val="18"/>
    </w:rPr>
  </w:style>
  <w:style w:type="character" w:styleId="1077">
    <w:name w:val="Footnote Text Char"/>
    <w:link w:val="1076"/>
    <w:uiPriority w:val="99"/>
    <w:rPr>
      <w:sz w:val="18"/>
    </w:rPr>
  </w:style>
  <w:style w:type="character" w:styleId="1078">
    <w:name w:val="footnote reference"/>
    <w:uiPriority w:val="99"/>
    <w:unhideWhenUsed/>
    <w:rPr>
      <w:vertAlign w:val="superscript"/>
    </w:rPr>
  </w:style>
  <w:style w:type="paragraph" w:styleId="1079">
    <w:name w:val="endnote text"/>
    <w:basedOn w:val="1093"/>
    <w:link w:val="1080"/>
    <w:uiPriority w:val="99"/>
    <w:semiHidden/>
    <w:unhideWhenUsed/>
    <w:pPr>
      <w:spacing w:after="0" w:line="240" w:lineRule="auto"/>
    </w:pPr>
    <w:rPr>
      <w:sz w:val="20"/>
    </w:rPr>
  </w:style>
  <w:style w:type="character" w:styleId="1080">
    <w:name w:val="Endnote Text Char"/>
    <w:link w:val="1079"/>
    <w:uiPriority w:val="99"/>
    <w:rPr>
      <w:sz w:val="20"/>
    </w:rPr>
  </w:style>
  <w:style w:type="character" w:styleId="1081">
    <w:name w:val="endnote reference"/>
    <w:uiPriority w:val="99"/>
    <w:semiHidden/>
    <w:unhideWhenUsed/>
    <w:rPr>
      <w:vertAlign w:val="superscript"/>
    </w:rPr>
  </w:style>
  <w:style w:type="paragraph" w:styleId="1082">
    <w:name w:val="toc 1"/>
    <w:basedOn w:val="1093"/>
    <w:next w:val="1093"/>
    <w:uiPriority w:val="39"/>
    <w:unhideWhenUsed/>
    <w:pPr>
      <w:ind w:left="0" w:right="0" w:firstLine="0"/>
      <w:spacing w:after="57"/>
    </w:pPr>
  </w:style>
  <w:style w:type="paragraph" w:styleId="1083">
    <w:name w:val="toc 2"/>
    <w:basedOn w:val="1093"/>
    <w:next w:val="1093"/>
    <w:uiPriority w:val="39"/>
    <w:unhideWhenUsed/>
    <w:pPr>
      <w:ind w:left="283" w:right="0" w:firstLine="0"/>
      <w:spacing w:after="57"/>
    </w:pPr>
  </w:style>
  <w:style w:type="paragraph" w:styleId="1084">
    <w:name w:val="toc 3"/>
    <w:basedOn w:val="1093"/>
    <w:next w:val="1093"/>
    <w:uiPriority w:val="39"/>
    <w:unhideWhenUsed/>
    <w:pPr>
      <w:ind w:left="567" w:right="0" w:firstLine="0"/>
      <w:spacing w:after="57"/>
    </w:pPr>
  </w:style>
  <w:style w:type="paragraph" w:styleId="1085">
    <w:name w:val="toc 4"/>
    <w:basedOn w:val="1093"/>
    <w:next w:val="1093"/>
    <w:uiPriority w:val="39"/>
    <w:unhideWhenUsed/>
    <w:pPr>
      <w:ind w:left="850" w:right="0" w:firstLine="0"/>
      <w:spacing w:after="57"/>
    </w:pPr>
  </w:style>
  <w:style w:type="paragraph" w:styleId="1086">
    <w:name w:val="toc 5"/>
    <w:basedOn w:val="1093"/>
    <w:next w:val="1093"/>
    <w:uiPriority w:val="39"/>
    <w:unhideWhenUsed/>
    <w:pPr>
      <w:ind w:left="1134" w:right="0" w:firstLine="0"/>
      <w:spacing w:after="57"/>
    </w:pPr>
  </w:style>
  <w:style w:type="paragraph" w:styleId="1087">
    <w:name w:val="toc 6"/>
    <w:basedOn w:val="1093"/>
    <w:next w:val="1093"/>
    <w:uiPriority w:val="39"/>
    <w:unhideWhenUsed/>
    <w:pPr>
      <w:ind w:left="1417" w:right="0" w:firstLine="0"/>
      <w:spacing w:after="57"/>
    </w:pPr>
  </w:style>
  <w:style w:type="paragraph" w:styleId="1088">
    <w:name w:val="toc 7"/>
    <w:basedOn w:val="1093"/>
    <w:next w:val="1093"/>
    <w:uiPriority w:val="39"/>
    <w:unhideWhenUsed/>
    <w:pPr>
      <w:ind w:left="1701" w:right="0" w:firstLine="0"/>
      <w:spacing w:after="57"/>
    </w:pPr>
  </w:style>
  <w:style w:type="paragraph" w:styleId="1089">
    <w:name w:val="toc 8"/>
    <w:basedOn w:val="1093"/>
    <w:next w:val="1093"/>
    <w:uiPriority w:val="39"/>
    <w:unhideWhenUsed/>
    <w:pPr>
      <w:ind w:left="1984" w:right="0" w:firstLine="0"/>
      <w:spacing w:after="57"/>
    </w:pPr>
  </w:style>
  <w:style w:type="paragraph" w:styleId="1090">
    <w:name w:val="toc 9"/>
    <w:basedOn w:val="1093"/>
    <w:next w:val="1093"/>
    <w:uiPriority w:val="39"/>
    <w:unhideWhenUsed/>
    <w:pPr>
      <w:ind w:left="2268" w:right="0" w:firstLine="0"/>
      <w:spacing w:after="57"/>
    </w:pPr>
  </w:style>
  <w:style w:type="paragraph" w:styleId="1091">
    <w:name w:val="TOC Heading"/>
    <w:uiPriority w:val="39"/>
    <w:unhideWhenUsed/>
  </w:style>
  <w:style w:type="paragraph" w:styleId="1092">
    <w:name w:val="table of figures"/>
    <w:basedOn w:val="1093"/>
    <w:next w:val="1093"/>
    <w:uiPriority w:val="99"/>
    <w:unhideWhenUsed/>
    <w:pPr>
      <w:spacing w:after="0" w:afterAutospacing="0"/>
    </w:pPr>
  </w:style>
  <w:style w:type="paragraph" w:styleId="1093" w:default="1">
    <w:name w:val="Normal"/>
    <w:next w:val="1093"/>
    <w:link w:val="1093"/>
    <w:qFormat/>
    <w:rPr>
      <w:lang w:val="ru-RU" w:eastAsia="ar-SA" w:bidi="ar-SA"/>
    </w:rPr>
  </w:style>
  <w:style w:type="paragraph" w:styleId="1094">
    <w:name w:val="Заголовок 1"/>
    <w:basedOn w:val="1093"/>
    <w:next w:val="1093"/>
    <w:link w:val="1161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95">
    <w:name w:val="Заголовок 2"/>
    <w:basedOn w:val="1093"/>
    <w:next w:val="1095"/>
    <w:link w:val="115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96">
    <w:name w:val="Заголовок 3"/>
    <w:basedOn w:val="1093"/>
    <w:next w:val="1093"/>
    <w:link w:val="1164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97">
    <w:name w:val="Заголовок 4"/>
    <w:basedOn w:val="1093"/>
    <w:next w:val="1093"/>
    <w:link w:val="1163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98">
    <w:name w:val="Основной шрифт абзаца"/>
    <w:next w:val="1098"/>
    <w:link w:val="1093"/>
    <w:semiHidden/>
  </w:style>
  <w:style w:type="table" w:styleId="1099">
    <w:name w:val="Обычная таблица"/>
    <w:next w:val="1099"/>
    <w:link w:val="1093"/>
    <w:uiPriority w:val="99"/>
    <w:semiHidden/>
    <w:unhideWhenUsed/>
    <w:tblPr/>
  </w:style>
  <w:style w:type="numbering" w:styleId="1100">
    <w:name w:val="Нет списка"/>
    <w:next w:val="1100"/>
    <w:link w:val="1093"/>
    <w:uiPriority w:val="99"/>
    <w:semiHidden/>
    <w:unhideWhenUsed/>
  </w:style>
  <w:style w:type="character" w:styleId="1101">
    <w:name w:val="Основной шрифт абзаца6"/>
    <w:next w:val="1101"/>
    <w:link w:val="1093"/>
  </w:style>
  <w:style w:type="character" w:styleId="1102">
    <w:name w:val="Основной шрифт абзаца5"/>
    <w:next w:val="1102"/>
    <w:link w:val="1093"/>
  </w:style>
  <w:style w:type="character" w:styleId="1103">
    <w:name w:val="Основной шрифт абзаца4"/>
    <w:next w:val="1103"/>
    <w:link w:val="1093"/>
  </w:style>
  <w:style w:type="character" w:styleId="1104">
    <w:name w:val="Absatz-Standardschriftart"/>
    <w:next w:val="1104"/>
    <w:link w:val="1093"/>
  </w:style>
  <w:style w:type="character" w:styleId="1105">
    <w:name w:val="WW-Absatz-Standardschriftart"/>
    <w:next w:val="1105"/>
    <w:link w:val="1093"/>
  </w:style>
  <w:style w:type="character" w:styleId="1106">
    <w:name w:val="Основной шрифт абзаца3"/>
    <w:next w:val="1106"/>
    <w:link w:val="1093"/>
  </w:style>
  <w:style w:type="character" w:styleId="1107">
    <w:name w:val="WW-Absatz-Standardschriftart1"/>
    <w:next w:val="1107"/>
    <w:link w:val="1093"/>
  </w:style>
  <w:style w:type="character" w:styleId="1108">
    <w:name w:val="Основной шрифт абзаца2"/>
    <w:next w:val="1108"/>
    <w:link w:val="1093"/>
  </w:style>
  <w:style w:type="character" w:styleId="1109">
    <w:name w:val="WW-Absatz-Standardschriftart11"/>
    <w:next w:val="1109"/>
    <w:link w:val="1093"/>
  </w:style>
  <w:style w:type="character" w:styleId="1110">
    <w:name w:val="Основной шрифт абзаца1"/>
    <w:next w:val="1110"/>
    <w:link w:val="1093"/>
  </w:style>
  <w:style w:type="character" w:styleId="1111">
    <w:name w:val="Îñíîâíîé øðèôò"/>
    <w:next w:val="1111"/>
    <w:link w:val="1093"/>
  </w:style>
  <w:style w:type="character" w:styleId="1112">
    <w:name w:val="Гиперссылка"/>
    <w:next w:val="1112"/>
    <w:link w:val="1093"/>
    <w:uiPriority w:val="99"/>
    <w:semiHidden/>
    <w:rPr>
      <w:color w:val="0000ff"/>
      <w:u w:val="single"/>
    </w:rPr>
  </w:style>
  <w:style w:type="character" w:styleId="1113">
    <w:name w:val="Просмотренная гиперссылка"/>
    <w:next w:val="1113"/>
    <w:link w:val="1093"/>
    <w:semiHidden/>
    <w:rPr>
      <w:color w:val="800080"/>
      <w:u w:val="single"/>
    </w:rPr>
  </w:style>
  <w:style w:type="paragraph" w:styleId="1114">
    <w:name w:val="Заголовок"/>
    <w:basedOn w:val="1093"/>
    <w:next w:val="1115"/>
    <w:link w:val="109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115">
    <w:name w:val="Основной текст"/>
    <w:basedOn w:val="1093"/>
    <w:next w:val="1115"/>
    <w:link w:val="1093"/>
    <w:semiHidden/>
    <w:rPr>
      <w:sz w:val="28"/>
    </w:rPr>
  </w:style>
  <w:style w:type="paragraph" w:styleId="1116">
    <w:name w:val="Список"/>
    <w:basedOn w:val="1115"/>
    <w:next w:val="1116"/>
    <w:link w:val="1093"/>
    <w:semiHidden/>
    <w:rPr>
      <w:rFonts w:ascii="Arial" w:hAnsi="Arial" w:cs="Tahoma"/>
    </w:rPr>
  </w:style>
  <w:style w:type="paragraph" w:styleId="1117">
    <w:name w:val="Название6"/>
    <w:basedOn w:val="1093"/>
    <w:next w:val="1117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18">
    <w:name w:val="Указатель6"/>
    <w:basedOn w:val="1093"/>
    <w:next w:val="1118"/>
    <w:link w:val="1093"/>
    <w:pPr>
      <w:suppressLineNumbers/>
    </w:pPr>
    <w:rPr>
      <w:rFonts w:ascii="Arial" w:hAnsi="Arial" w:cs="Tahoma"/>
    </w:rPr>
  </w:style>
  <w:style w:type="paragraph" w:styleId="1119">
    <w:name w:val="Название5"/>
    <w:basedOn w:val="1093"/>
    <w:next w:val="1119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20">
    <w:name w:val="Указатель5"/>
    <w:basedOn w:val="1093"/>
    <w:next w:val="1120"/>
    <w:link w:val="1093"/>
    <w:pPr>
      <w:suppressLineNumbers/>
    </w:pPr>
    <w:rPr>
      <w:rFonts w:ascii="Arial" w:hAnsi="Arial" w:cs="Tahoma"/>
    </w:rPr>
  </w:style>
  <w:style w:type="paragraph" w:styleId="1121">
    <w:name w:val="Название4"/>
    <w:basedOn w:val="1093"/>
    <w:next w:val="1121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22">
    <w:name w:val="Указатель4"/>
    <w:basedOn w:val="1093"/>
    <w:next w:val="1122"/>
    <w:link w:val="1093"/>
    <w:pPr>
      <w:suppressLineNumbers/>
    </w:pPr>
    <w:rPr>
      <w:rFonts w:ascii="Arial" w:hAnsi="Arial" w:cs="Tahoma"/>
    </w:rPr>
  </w:style>
  <w:style w:type="paragraph" w:styleId="1123">
    <w:name w:val="Название3"/>
    <w:basedOn w:val="1093"/>
    <w:next w:val="1123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24">
    <w:name w:val="Указатель3"/>
    <w:basedOn w:val="1093"/>
    <w:next w:val="1124"/>
    <w:link w:val="1093"/>
    <w:pPr>
      <w:suppressLineNumbers/>
    </w:pPr>
    <w:rPr>
      <w:rFonts w:ascii="Arial" w:hAnsi="Arial" w:cs="Tahoma"/>
    </w:rPr>
  </w:style>
  <w:style w:type="paragraph" w:styleId="1125">
    <w:name w:val="Название2"/>
    <w:basedOn w:val="1093"/>
    <w:next w:val="1125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26">
    <w:name w:val="Указатель2"/>
    <w:basedOn w:val="1093"/>
    <w:next w:val="1126"/>
    <w:link w:val="1093"/>
    <w:pPr>
      <w:suppressLineNumbers/>
    </w:pPr>
    <w:rPr>
      <w:rFonts w:ascii="Arial" w:hAnsi="Arial" w:cs="Tahoma"/>
    </w:rPr>
  </w:style>
  <w:style w:type="paragraph" w:styleId="1127">
    <w:name w:val="Название1"/>
    <w:basedOn w:val="1093"/>
    <w:next w:val="1127"/>
    <w:link w:val="109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28">
    <w:name w:val="Указатель1"/>
    <w:basedOn w:val="1093"/>
    <w:next w:val="1128"/>
    <w:link w:val="1093"/>
    <w:pPr>
      <w:suppressLineNumbers/>
    </w:pPr>
    <w:rPr>
      <w:rFonts w:ascii="Arial" w:hAnsi="Arial" w:cs="Tahoma"/>
    </w:rPr>
  </w:style>
  <w:style w:type="paragraph" w:styleId="1129">
    <w:name w:val="Верхний колонтитул"/>
    <w:basedOn w:val="1093"/>
    <w:next w:val="1129"/>
    <w:link w:val="1136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130">
    <w:name w:val="Нижний колонтитул"/>
    <w:basedOn w:val="1093"/>
    <w:next w:val="1130"/>
    <w:link w:val="1137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131">
    <w:name w:val="Текст выноски"/>
    <w:basedOn w:val="1093"/>
    <w:next w:val="1131"/>
    <w:link w:val="1093"/>
    <w:rPr>
      <w:rFonts w:ascii="Tahoma" w:hAnsi="Tahoma" w:cs="Tahoma"/>
      <w:sz w:val="16"/>
      <w:szCs w:val="16"/>
    </w:rPr>
  </w:style>
  <w:style w:type="paragraph" w:styleId="1132">
    <w:name w:val="Содержимое таблицы"/>
    <w:basedOn w:val="1093"/>
    <w:next w:val="1132"/>
    <w:link w:val="1093"/>
    <w:pPr>
      <w:suppressLineNumbers/>
    </w:pPr>
  </w:style>
  <w:style w:type="paragraph" w:styleId="1133">
    <w:name w:val="Заголовок таблицы"/>
    <w:basedOn w:val="1132"/>
    <w:next w:val="1133"/>
    <w:link w:val="1093"/>
    <w:pPr>
      <w:jc w:val="center"/>
      <w:suppressLineNumbers/>
    </w:pPr>
    <w:rPr>
      <w:b/>
      <w:bCs/>
    </w:rPr>
  </w:style>
  <w:style w:type="paragraph" w:styleId="1134">
    <w:name w:val="Содержимое врезки"/>
    <w:basedOn w:val="1115"/>
    <w:next w:val="1134"/>
    <w:link w:val="1093"/>
  </w:style>
  <w:style w:type="table" w:styleId="1135">
    <w:name w:val="Сетка таблицы"/>
    <w:basedOn w:val="1099"/>
    <w:next w:val="1135"/>
    <w:link w:val="1093"/>
    <w:tblPr/>
  </w:style>
  <w:style w:type="character" w:styleId="1136">
    <w:name w:val="Верхний колонтитул Знак"/>
    <w:next w:val="1136"/>
    <w:link w:val="1129"/>
    <w:rPr>
      <w:lang w:eastAsia="ar-SA"/>
    </w:rPr>
  </w:style>
  <w:style w:type="character" w:styleId="1137">
    <w:name w:val="Нижний колонтитул Знак"/>
    <w:next w:val="1137"/>
    <w:link w:val="1130"/>
    <w:rPr>
      <w:lang w:eastAsia="ar-SA"/>
    </w:rPr>
  </w:style>
  <w:style w:type="character" w:styleId="1138">
    <w:name w:val="Номер страницы"/>
    <w:basedOn w:val="1098"/>
    <w:next w:val="1138"/>
    <w:link w:val="1093"/>
  </w:style>
  <w:style w:type="character" w:styleId="1139">
    <w:name w:val="Основной текст + 16,5 pt2,Курсив1,Основной текст + 10"/>
    <w:next w:val="1139"/>
    <w:link w:val="1093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40">
    <w:name w:val="Основной текст (3)_"/>
    <w:next w:val="1140"/>
    <w:link w:val="1141"/>
    <w:rPr>
      <w:sz w:val="22"/>
      <w:szCs w:val="22"/>
      <w:shd w:val="clear" w:color="auto" w:fill="ffffff"/>
    </w:rPr>
  </w:style>
  <w:style w:type="paragraph" w:styleId="1141">
    <w:name w:val="Основной текст (3)"/>
    <w:basedOn w:val="1093"/>
    <w:next w:val="1141"/>
    <w:link w:val="1140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42">
    <w:name w:val="Без интервала"/>
    <w:next w:val="1142"/>
    <w:link w:val="109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43">
    <w:name w:val="Font Style13"/>
    <w:next w:val="1143"/>
    <w:link w:val="1093"/>
    <w:rPr>
      <w:rFonts w:ascii="Times New Roman" w:hAnsi="Times New Roman" w:cs="Times New Roman"/>
      <w:sz w:val="26"/>
      <w:szCs w:val="26"/>
    </w:rPr>
  </w:style>
  <w:style w:type="paragraph" w:styleId="1144">
    <w:name w:val="Обычный (веб)"/>
    <w:basedOn w:val="1093"/>
    <w:next w:val="1144"/>
    <w:link w:val="109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45">
    <w:name w:val="apple-converted-space"/>
    <w:next w:val="1145"/>
    <w:link w:val="1093"/>
  </w:style>
  <w:style w:type="character" w:styleId="1146">
    <w:name w:val="Font Style18"/>
    <w:next w:val="1146"/>
    <w:link w:val="1093"/>
    <w:uiPriority w:val="99"/>
    <w:rPr>
      <w:rFonts w:ascii="Times New Roman" w:hAnsi="Times New Roman" w:cs="Times New Roman"/>
      <w:sz w:val="26"/>
      <w:szCs w:val="26"/>
    </w:rPr>
  </w:style>
  <w:style w:type="paragraph" w:styleId="1147">
    <w:name w:val="Основной текст с отступом"/>
    <w:basedOn w:val="1093"/>
    <w:next w:val="1147"/>
    <w:link w:val="1148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48">
    <w:name w:val="Основной текст с отступом Знак"/>
    <w:next w:val="1148"/>
    <w:link w:val="1147"/>
    <w:uiPriority w:val="99"/>
    <w:rPr>
      <w:color w:val="000000"/>
      <w:sz w:val="28"/>
      <w:szCs w:val="28"/>
      <w:lang w:eastAsia="ar-SA"/>
    </w:rPr>
  </w:style>
  <w:style w:type="paragraph" w:styleId="1149">
    <w:name w:val="ConsPlusNormal"/>
    <w:next w:val="1149"/>
    <w:link w:val="11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50">
    <w:name w:val="ConsPlusNormal Знак"/>
    <w:next w:val="1150"/>
    <w:link w:val="1149"/>
    <w:rPr>
      <w:rFonts w:ascii="Arial" w:hAnsi="Arial" w:cs="Arial"/>
      <w:lang w:val="ru-RU" w:eastAsia="ru-RU" w:bidi="ar-SA"/>
    </w:rPr>
  </w:style>
  <w:style w:type="paragraph" w:styleId="1151">
    <w:name w:val="Основной текст с отступом 2"/>
    <w:basedOn w:val="1093"/>
    <w:next w:val="1151"/>
    <w:link w:val="1152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52">
    <w:name w:val="Основной текст с отступом 2 Знак"/>
    <w:next w:val="1152"/>
    <w:link w:val="1151"/>
    <w:uiPriority w:val="99"/>
    <w:rPr>
      <w:color w:val="000000"/>
      <w:sz w:val="26"/>
      <w:szCs w:val="26"/>
      <w:lang w:eastAsia="ar-SA"/>
    </w:rPr>
  </w:style>
  <w:style w:type="character" w:styleId="1153">
    <w:name w:val="Знак примечания"/>
    <w:next w:val="1153"/>
    <w:link w:val="1093"/>
    <w:uiPriority w:val="99"/>
    <w:semiHidden/>
    <w:unhideWhenUsed/>
    <w:rPr>
      <w:sz w:val="16"/>
      <w:szCs w:val="16"/>
    </w:rPr>
  </w:style>
  <w:style w:type="paragraph" w:styleId="1154">
    <w:name w:val="Текст примечания"/>
    <w:basedOn w:val="1093"/>
    <w:next w:val="1154"/>
    <w:link w:val="1155"/>
    <w:uiPriority w:val="99"/>
    <w:semiHidden/>
    <w:unhideWhenUsed/>
  </w:style>
  <w:style w:type="character" w:styleId="1155">
    <w:name w:val="Текст примечания Знак"/>
    <w:next w:val="1155"/>
    <w:link w:val="1154"/>
    <w:uiPriority w:val="99"/>
    <w:semiHidden/>
    <w:rPr>
      <w:lang w:eastAsia="ar-SA"/>
    </w:rPr>
  </w:style>
  <w:style w:type="paragraph" w:styleId="1156">
    <w:name w:val="Тема примечания"/>
    <w:basedOn w:val="1154"/>
    <w:next w:val="1154"/>
    <w:link w:val="1157"/>
    <w:uiPriority w:val="99"/>
    <w:semiHidden/>
    <w:unhideWhenUsed/>
    <w:rPr>
      <w:b/>
      <w:bCs/>
    </w:rPr>
  </w:style>
  <w:style w:type="character" w:styleId="1157">
    <w:name w:val="Тема примечания Знак"/>
    <w:next w:val="1157"/>
    <w:link w:val="1156"/>
    <w:uiPriority w:val="99"/>
    <w:semiHidden/>
    <w:rPr>
      <w:b/>
      <w:bCs/>
      <w:lang w:eastAsia="ar-SA"/>
    </w:rPr>
  </w:style>
  <w:style w:type="character" w:styleId="1158">
    <w:name w:val="Строгий"/>
    <w:next w:val="1158"/>
    <w:link w:val="1093"/>
    <w:uiPriority w:val="22"/>
    <w:qFormat/>
    <w:rPr>
      <w:b/>
      <w:bCs/>
    </w:rPr>
  </w:style>
  <w:style w:type="character" w:styleId="1159">
    <w:name w:val="Заголовок 2 Знак"/>
    <w:next w:val="1159"/>
    <w:link w:val="1095"/>
    <w:uiPriority w:val="9"/>
    <w:rPr>
      <w:b/>
      <w:bCs/>
      <w:sz w:val="36"/>
      <w:szCs w:val="36"/>
    </w:rPr>
  </w:style>
  <w:style w:type="paragraph" w:styleId="1160">
    <w:name w:val="paragraph"/>
    <w:basedOn w:val="1093"/>
    <w:next w:val="1160"/>
    <w:link w:val="109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61">
    <w:name w:val="Заголовок 1 Знак"/>
    <w:next w:val="1161"/>
    <w:link w:val="1094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62">
    <w:name w:val="b-article__text"/>
    <w:basedOn w:val="1093"/>
    <w:next w:val="1162"/>
    <w:link w:val="109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63">
    <w:name w:val="Заголовок 4 Знак"/>
    <w:next w:val="1163"/>
    <w:link w:val="1097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64">
    <w:name w:val="Заголовок 3 Знак"/>
    <w:next w:val="1164"/>
    <w:link w:val="1096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65">
    <w:name w:val="Абзац списка"/>
    <w:basedOn w:val="1093"/>
    <w:next w:val="1165"/>
    <w:link w:val="1093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66">
    <w:name w:val="Header"/>
    <w:next w:val="1166"/>
    <w:link w:val="1093"/>
  </w:style>
  <w:style w:type="character" w:styleId="1167">
    <w:name w:val="Title"/>
    <w:next w:val="1167"/>
    <w:link w:val="1093"/>
  </w:style>
  <w:style w:type="character" w:styleId="1168">
    <w:name w:val="dashed"/>
    <w:next w:val="1168"/>
    <w:link w:val="1093"/>
  </w:style>
  <w:style w:type="character" w:styleId="1169">
    <w:name w:val="buttons"/>
    <w:next w:val="1169"/>
    <w:link w:val="1093"/>
  </w:style>
  <w:style w:type="paragraph" w:styleId="1170">
    <w:name w:val="float"/>
    <w:basedOn w:val="1093"/>
    <w:next w:val="1170"/>
    <w:link w:val="109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71">
    <w:name w:val="Caption"/>
    <w:next w:val="1171"/>
    <w:link w:val="1093"/>
  </w:style>
  <w:style w:type="character" w:styleId="1172">
    <w:name w:val="time"/>
    <w:next w:val="1172"/>
    <w:link w:val="1093"/>
  </w:style>
  <w:style w:type="character" w:styleId="1173">
    <w:name w:val="i18n"/>
    <w:next w:val="1173"/>
    <w:link w:val="1093"/>
  </w:style>
  <w:style w:type="paragraph" w:styleId="1174">
    <w:name w:val="z-Начало формы"/>
    <w:basedOn w:val="1093"/>
    <w:next w:val="1093"/>
    <w:link w:val="1175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75">
    <w:name w:val="z-Начало формы Знак"/>
    <w:next w:val="1175"/>
    <w:link w:val="1174"/>
    <w:uiPriority w:val="99"/>
    <w:semiHidden/>
    <w:rPr>
      <w:rFonts w:ascii="Arial" w:hAnsi="Arial" w:cs="Arial"/>
      <w:vanish/>
      <w:sz w:val="16"/>
      <w:szCs w:val="16"/>
    </w:rPr>
  </w:style>
  <w:style w:type="paragraph" w:styleId="1176">
    <w:name w:val="z-Конец формы"/>
    <w:basedOn w:val="1093"/>
    <w:next w:val="1093"/>
    <w:link w:val="1177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77">
    <w:name w:val="z-Конец формы Знак"/>
    <w:next w:val="1177"/>
    <w:link w:val="1176"/>
    <w:uiPriority w:val="99"/>
    <w:semiHidden/>
    <w:rPr>
      <w:rFonts w:ascii="Arial" w:hAnsi="Arial" w:cs="Arial"/>
      <w:vanish/>
      <w:sz w:val="16"/>
      <w:szCs w:val="16"/>
    </w:rPr>
  </w:style>
  <w:style w:type="character" w:styleId="1178">
    <w:name w:val="message-time"/>
    <w:next w:val="1178"/>
    <w:link w:val="1093"/>
  </w:style>
  <w:style w:type="character" w:styleId="1179" w:default="1">
    <w:name w:val="Default Paragraph Font"/>
    <w:uiPriority w:val="1"/>
    <w:semiHidden/>
    <w:unhideWhenUsed/>
  </w:style>
  <w:style w:type="numbering" w:styleId="1180" w:default="1">
    <w:name w:val="No List"/>
    <w:uiPriority w:val="99"/>
    <w:semiHidden/>
    <w:unhideWhenUsed/>
  </w:style>
  <w:style w:type="table" w:styleId="11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&#1087;&#1088;&#1086;&#1080;&#1079;&#1074;&#1086;&#1076;&#1080;&#1090;&#1077;&#1083;&#1100;&#1085;&#1086;&#1089;&#1090;&#1100;.&#1088;&#1092;/" TargetMode="External"/><Relationship Id="rId13" Type="http://schemas.openxmlformats.org/officeDocument/2006/relationships/hyperlink" Target="https://roskachestvo.gov.ru/award/" TargetMode="External"/><Relationship Id="rId14" Type="http://schemas.openxmlformats.org/officeDocument/2006/relationships/hyperlink" Target="https://fgiscs.minstroyrf.ru/RimDefinitionEstimatedCost/docExamples" TargetMode="External"/><Relationship Id="rId15" Type="http://schemas.openxmlformats.org/officeDocument/2006/relationships/hyperlink" Target="https://fgiscs.minstroyrf.ru/monitoring" TargetMode="External"/><Relationship Id="rId16" Type="http://schemas.openxmlformats.org/officeDocument/2006/relationships/hyperlink" Target="http://minpromtorg.udmurt.ru/materials/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miniazeva_aa</cp:lastModifiedBy>
  <cp:revision>83</cp:revision>
  <dcterms:created xsi:type="dcterms:W3CDTF">2023-12-05T08:05:00Z</dcterms:created>
  <dcterms:modified xsi:type="dcterms:W3CDTF">2026-02-26T06:44:03Z</dcterms:modified>
  <cp:version>917504</cp:version>
</cp:coreProperties>
</file>